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1385976E" w14:textId="05E60973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CC3D2A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 w:rsidR="00CC3D2A">
        <w:rPr>
          <w:rFonts w:cstheme="minorHAnsi"/>
        </w:rPr>
        <w:t xml:space="preserve"> </w:t>
      </w:r>
      <w:r>
        <w:rPr>
          <w:rFonts w:cstheme="minorHAnsi"/>
        </w:rPr>
        <w:t xml:space="preserve"> – Fundusz Młodzieżowy EDYCJA I</w:t>
      </w:r>
    </w:p>
    <w:p w14:paraId="187CAFCF" w14:textId="77777777" w:rsidR="00FF3AE8" w:rsidRPr="00FF3AE8" w:rsidRDefault="00FF3AE8" w:rsidP="00636C2A">
      <w:pPr>
        <w:pStyle w:val="Bezodstpw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783491A5" w:rsidR="00636C2A" w:rsidRPr="00636C2A" w:rsidRDefault="00CC3D2A" w:rsidP="00636C2A">
            <w:pPr>
              <w:autoSpaceDE w:val="0"/>
              <w:autoSpaceDN w:val="0"/>
              <w:adjustRightInd w:val="0"/>
            </w:pPr>
            <w:r>
              <w:t>Samorząd/organizacja</w:t>
            </w:r>
            <w:r w:rsidR="00636C2A" w:rsidRPr="00636C2A">
              <w:t xml:space="preserve"> w ramach zadania publicznego korzysta ze wsparcia w postaci szkoleń lub zgłasza chęć skorzystania ze wsparcia na organizację konferencji poprzez złożenie odrębnego wniosku w przedmiotowym konkursie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3B6416"/>
    <w:rsid w:val="0053185C"/>
    <w:rsid w:val="005634CF"/>
    <w:rsid w:val="00614FD9"/>
    <w:rsid w:val="00636C2A"/>
    <w:rsid w:val="00642C5A"/>
    <w:rsid w:val="007D208D"/>
    <w:rsid w:val="0085367E"/>
    <w:rsid w:val="00901CCD"/>
    <w:rsid w:val="009A1CD5"/>
    <w:rsid w:val="00B478DB"/>
    <w:rsid w:val="00BB79B4"/>
    <w:rsid w:val="00BE79C7"/>
    <w:rsid w:val="00CC3D2A"/>
    <w:rsid w:val="00CD2276"/>
    <w:rsid w:val="00CE7F4C"/>
    <w:rsid w:val="00DA140D"/>
    <w:rsid w:val="00DA5C23"/>
    <w:rsid w:val="00DE4B24"/>
    <w:rsid w:val="00E75989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2023-03-15T11:24:00Z</dcterms:created>
  <dcterms:modified xsi:type="dcterms:W3CDTF">2023-03-15T11:24:00Z</dcterms:modified>
</cp:coreProperties>
</file>